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DBD6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7A6109CE">
      <w:pPr>
        <w:spacing w:line="540" w:lineRule="exact"/>
        <w:jc w:val="center"/>
        <w:rPr>
          <w:rFonts w:ascii="方正小标宋_GBK" w:hAnsi="华文中宋" w:eastAsia="方正小标宋_GBK" w:cs="宋体"/>
          <w:b/>
          <w:kern w:val="0"/>
          <w:sz w:val="48"/>
          <w:szCs w:val="48"/>
        </w:rPr>
      </w:pPr>
    </w:p>
    <w:p w14:paraId="1A456138">
      <w:pPr>
        <w:spacing w:line="540" w:lineRule="exact"/>
        <w:jc w:val="center"/>
        <w:rPr>
          <w:rFonts w:ascii="方正小标宋_GBK" w:hAnsi="华文中宋" w:eastAsia="方正小标宋_GBK" w:cs="宋体"/>
          <w:b/>
          <w:kern w:val="0"/>
          <w:sz w:val="48"/>
          <w:szCs w:val="48"/>
        </w:rPr>
      </w:pPr>
    </w:p>
    <w:p w14:paraId="49037DDF">
      <w:pPr>
        <w:spacing w:line="540" w:lineRule="exact"/>
        <w:jc w:val="center"/>
        <w:rPr>
          <w:rFonts w:ascii="方正小标宋_GBK" w:hAnsi="华文中宋" w:eastAsia="方正小标宋_GBK" w:cs="宋体"/>
          <w:b/>
          <w:kern w:val="0"/>
          <w:sz w:val="48"/>
          <w:szCs w:val="48"/>
        </w:rPr>
      </w:pPr>
    </w:p>
    <w:p w14:paraId="646E13AA">
      <w:pPr>
        <w:spacing w:line="540" w:lineRule="exact"/>
        <w:jc w:val="center"/>
        <w:rPr>
          <w:rFonts w:ascii="方正小标宋_GBK" w:hAnsi="华文中宋" w:eastAsia="方正小标宋_GBK" w:cs="宋体"/>
          <w:b/>
          <w:kern w:val="0"/>
          <w:sz w:val="48"/>
          <w:szCs w:val="48"/>
        </w:rPr>
      </w:pPr>
    </w:p>
    <w:p w14:paraId="223E1171">
      <w:pPr>
        <w:spacing w:line="540" w:lineRule="exact"/>
        <w:jc w:val="center"/>
        <w:rPr>
          <w:rFonts w:ascii="方正小标宋_GBK" w:hAnsi="华文中宋" w:eastAsia="方正小标宋_GBK" w:cs="宋体"/>
          <w:b/>
          <w:kern w:val="0"/>
          <w:sz w:val="48"/>
          <w:szCs w:val="48"/>
        </w:rPr>
      </w:pPr>
    </w:p>
    <w:p w14:paraId="62EFF843">
      <w:pPr>
        <w:spacing w:line="540" w:lineRule="exact"/>
        <w:jc w:val="center"/>
        <w:rPr>
          <w:rFonts w:ascii="方正小标宋_GBK" w:hAnsi="华文中宋" w:eastAsia="方正小标宋_GBK" w:cs="宋体"/>
          <w:b/>
          <w:kern w:val="0"/>
          <w:sz w:val="48"/>
          <w:szCs w:val="48"/>
        </w:rPr>
      </w:pPr>
    </w:p>
    <w:p w14:paraId="289F6E8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6DB07A2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3EC51BFD">
      <w:pPr>
        <w:spacing w:line="540" w:lineRule="exact"/>
        <w:jc w:val="center"/>
        <w:rPr>
          <w:rFonts w:ascii="华文中宋" w:hAnsi="华文中宋" w:eastAsia="华文中宋" w:cs="宋体"/>
          <w:b/>
          <w:kern w:val="0"/>
          <w:sz w:val="52"/>
          <w:szCs w:val="52"/>
        </w:rPr>
      </w:pPr>
    </w:p>
    <w:p w14:paraId="675ECF3B">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5736EAA7">
      <w:pPr>
        <w:spacing w:line="700" w:lineRule="exact"/>
        <w:jc w:val="left"/>
        <w:rPr>
          <w:rFonts w:hint="eastAsia" w:hAnsi="宋体" w:eastAsia="仿宋_GB2312" w:cs="宋体"/>
          <w:kern w:val="0"/>
          <w:sz w:val="36"/>
          <w:szCs w:val="36"/>
        </w:rPr>
      </w:pPr>
    </w:p>
    <w:p w14:paraId="47399A60">
      <w:pPr>
        <w:spacing w:line="700" w:lineRule="exact"/>
        <w:jc w:val="left"/>
        <w:rPr>
          <w:rFonts w:hint="eastAsia" w:hAnsi="宋体" w:eastAsia="仿宋_GB2312" w:cs="宋体"/>
          <w:kern w:val="0"/>
          <w:sz w:val="36"/>
          <w:szCs w:val="36"/>
        </w:rPr>
      </w:pPr>
    </w:p>
    <w:p w14:paraId="1B00D3B4">
      <w:pPr>
        <w:spacing w:line="700" w:lineRule="exact"/>
        <w:jc w:val="left"/>
        <w:rPr>
          <w:rFonts w:hint="eastAsia" w:hAnsi="宋体" w:eastAsia="仿宋_GB2312" w:cs="宋体"/>
          <w:kern w:val="0"/>
          <w:sz w:val="36"/>
          <w:szCs w:val="36"/>
          <w:lang w:eastAsia="zh-CN"/>
        </w:rPr>
      </w:pPr>
    </w:p>
    <w:p w14:paraId="36D68F58">
      <w:pPr>
        <w:spacing w:line="700" w:lineRule="exact"/>
        <w:jc w:val="left"/>
        <w:rPr>
          <w:rFonts w:hint="eastAsia" w:hAnsi="宋体" w:eastAsia="仿宋_GB2312" w:cs="宋体"/>
          <w:kern w:val="0"/>
          <w:sz w:val="36"/>
          <w:szCs w:val="36"/>
          <w:lang w:eastAsia="zh-CN"/>
        </w:rPr>
      </w:pPr>
    </w:p>
    <w:p w14:paraId="78B6CFB3">
      <w:pPr>
        <w:spacing w:line="700" w:lineRule="exact"/>
        <w:jc w:val="left"/>
        <w:rPr>
          <w:rFonts w:hint="eastAsia" w:hAnsi="宋体" w:eastAsia="仿宋_GB2312" w:cs="宋体"/>
          <w:kern w:val="0"/>
          <w:sz w:val="36"/>
          <w:szCs w:val="36"/>
          <w:lang w:eastAsia="zh-CN"/>
        </w:rPr>
      </w:pPr>
    </w:p>
    <w:p w14:paraId="2E929BDD">
      <w:pPr>
        <w:spacing w:line="700" w:lineRule="exact"/>
        <w:jc w:val="left"/>
        <w:rPr>
          <w:rFonts w:hint="eastAsia" w:hAnsi="宋体" w:eastAsia="仿宋_GB2312" w:cs="宋体"/>
          <w:kern w:val="0"/>
          <w:sz w:val="36"/>
          <w:szCs w:val="36"/>
          <w:lang w:eastAsia="zh-CN"/>
        </w:rPr>
      </w:pPr>
    </w:p>
    <w:p w14:paraId="27C861B3">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克州贸易促进委员会</w:t>
      </w:r>
    </w:p>
    <w:p w14:paraId="5B14DBC1">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06DF9DB0">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79D2333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79281E5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贸促会是自治州党委领导的群团组织和自治州人民政府直属的贸易投资促进机构，是自治州党委和自治州人民政府联系经贸界人士、企业、团体的重要纽带，是境内外工商界开展经贸交流合作的重要桥梁，是促进开放型经济发展和服务对外工作大局的重要力量。是参照公务员管理的事业单位，办公地址位于阿图什市光明街道光明路21号院。本单位主要职责为：（1）负责国际贸易政策研究和信息咨询工作。（2）开展境外贸易联络及纠纷调解工作。（3）参与组织各类境内外展洽会。（4）负责出口商品原产地证明书、商事证明、货物暂准进出口单证册等的签发。（5）负责对中国国际商会克孜勒苏商会的指导。</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克孜勒苏贸促会无下属预算单位，下设2个科室，分别是：办公室、业务科。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克孜勒苏贸促会编制数8人，实有人数9人，其中：在职7人；退休2人；离休0人。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2021年克孜勒苏贸促会（克孜勒苏商会）在自治州党委、人民政府的正确领导和新疆贸促会的具体指导下，以欢庆建党100周年和开展</w:t>
      </w:r>
      <w:r>
        <w:rPr>
          <w:rFonts w:hint="eastAsia" w:ascii="仿宋_GB2312" w:hAnsi="宋体" w:eastAsia="仿宋_GB2312"/>
          <w:b w:val="0"/>
          <w:bCs/>
          <w:sz w:val="32"/>
          <w:szCs w:val="32"/>
          <w:lang w:eastAsia="zh-CN"/>
        </w:rPr>
        <w:t>党史学习教育</w:t>
      </w:r>
      <w:r>
        <w:rPr>
          <w:rFonts w:hint="eastAsia" w:ascii="仿宋_GB2312" w:hAnsi="宋体" w:eastAsia="仿宋_GB2312"/>
          <w:b w:val="0"/>
          <w:bCs/>
          <w:sz w:val="32"/>
          <w:szCs w:val="32"/>
        </w:rPr>
        <w:t>为契机，认真贯彻落实自治区党委“3+1”重点工作，发挥联络优势，强化责任担当，创新工作举措，在维护稳定、疫情防控、贸易促进、推进经济高质量发展等方面都取得了较好的成绩，主要工作任务如下。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增强商会凝聚力，欢庆建党100周年。2021年中国共产党迎来了百年华诞。为庆祝中国共产党成立100周年，汇聚起全面建设社会主义现代化国家、实现中华民族伟大复兴的磅礴力量，我会主动担当，积极作为，一是5月底，由会领导带领商会理事会成员赴上阿图什镇博依萨克村走访慰问了15名老党员和困难党员，给他们送去价值3000元的大米、清油等慰问品，并向他们致以节日的问候。二是6月中旬，组织单位全体党员及会员企业人员40多人开展了以“增强凝聚力，永远跟党走”为主题的10公里户外徒步活动，大家通过重温入党誓词、唱红歌、观看红色电影，抒发了爱党爱国情怀，表达了“永远跟党走”坚强决心，以自己的“微行动”向建党100周年献礼。</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深入调查研究，着力纾困解难。3月份，我会组成调研组分别走访调研了阿克陶县轻工业园区、乌恰县工业园区、阿图什市工业园区和阿湖乡就业创业基地50多家外向型企业，了解企业经营状况以及存在困难和问题，并针对企业反映的问题，及时制定解决方案，从优化服务着手，真真切切、力所能及解决企业面临的困难。通过努力，有效解决了克州国利华、克州疆南家纺融资贷款难及内销渠道不畅等问题，并与各县（市）人社部门、乡（镇）党委、政府积极对接，协调相关部门加大培训力度，拓宽企业员工来源渠道，多措并举，切实稳定了企业员工队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搭建展洽平台，助力市场开拓。一是及时了解境外、国内各类展会信息，先后组织150多人次参加“RCEP协定助力中国中小制造型企业出口”“商事法律大讲堂”“2021年新疆会展业管理及创新发展业务培训班”“有效应对全球疫情影响，出口企业如何开拓国际市场”“中国上海国际农产品博览会”“首届中国（青海）国际生态博览会”等云上、线下国内展会及论坛、会议。二是协助新疆贸促会于4月13日，采取“1+N”的形式，组织20多家会员企业集中参加中国国际商会新疆商会联合克孜勒苏贸促会与厦门谷道集团有限公司（外贸牛）共同举办主题为《出口企业如何开拓国际市场》的线上培训。三是组织斯姆哈纳黑枸杞合作社、伊口岸同福祥公司、新疆红河农业科技公司参加在昌吉州举办的丝绸之路葡萄酒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践行初心使命，当好企业“娘家人”。一是协调州商务部门为有需求的3家会员企业申报为外汇差异化管理企业，使克州差异化管理企业达到11家，为今后的外贸发展奠定了基础。二是配合州商务部门为符合条件的会员企业进行外经贸发展资金项目申报“面对面”辅导，年内共申报五类14个项目涉及资金2300多万元，努力为企业争取更多的资金，帮助企业渡过难关。三是积极加强与疫情防控指挥部、口岸管委会、海关等有关部门协调联系，大力提高口岸通关效率，千方百计扩大出口，截止截止10月底全州外贸出口总额3.97亿美元，同比增长53%，明显高于全国、全疆增幅。</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发挥纽带作用，主动招商引资。一是积极协调在中国国际商会网站发布克州招商引资及各项优惠政策，通过中国国际商会平台推介克州，扩大克州知名度，加大招商引资力度。二是积极发挥我会的桥梁纽带作用，采取叩门招商、以商招商等多种形式，竭尽全力主动开展招商引资工作。目前，我会跟踪对接的浙江商会计划在阿图什市投资5亿元建设“浙商众投家居建材博览城”项目正在积极推进之中。今后，我们将继续加紧与相关部门进行沟通对接，争取项目尽早落地。</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加强对外联络，搭建合作平台。一是充分利用吉尔吉斯商务信息群和克州会员企业群，及时向企业提供商品供销信息，畅通交流渠道，加强企业合作。二是积极与吉尔吉斯斯坦经济部、工商会建立联系，着力为中吉企业交流合作搭建平台。三是经州分管领导协调，有效解决了吉尔吉斯斯坦奥什工商会所属“凯拉斯拓”有限责任公司13车约50万美元的吉方急需医疗物资的通关事宜，充分体现了国际商会的大局意识和责任担当。吉尔吉斯斯坦奥什工商会会长帕孜诺夫·克为此专门给克州党委、人民政府和商会发来《感谢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发展会员企业，壮大会员队伍。为充分发挥克孜勒苏贸促会（中国国际商会克孜勒苏商会）“亦官亦民”的行业优势，我们积极通过走访企业、主动叩门、依托商会（协会）、强化宣传、优化服务等多种途径持续加大会员发展工作力度，年内新增会员企业22家，也使我会会员总数达到75家，并通过建立微信服务平台，每天及时发送、宣传最新贸易促进、外经贸政策，为会员企业提供及时、快捷、优质的服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加强自身建设，提升服务水平。一是注重商会自身建设。加大对党员干部的管理力度，安排专人定期到企业走访，督促党员干部在各自岗位上自觉发挥先锋模范作用；同时，积极培养发展对象，使他们早日达到党员标准，年内发展新党员2名。今年，我单位分别被州直机关工委和民宗局评为先进基层党组织和民族团结示范单位。二是先后修订完善了会员企业联系制度等六项规章制度，确保各项工作有章可循。三是定期组织召开商会理事会议，及时传达学习</w:t>
      </w:r>
      <w:r>
        <w:rPr>
          <w:rFonts w:hint="eastAsia" w:ascii="仿宋_GB2312" w:hAnsi="宋体" w:eastAsia="仿宋_GB2312"/>
          <w:b w:val="0"/>
          <w:bCs/>
          <w:sz w:val="32"/>
          <w:szCs w:val="32"/>
          <w:lang w:eastAsia="zh-CN"/>
        </w:rPr>
        <w:t>党的十九届六中全会</w:t>
      </w:r>
      <w:r>
        <w:rPr>
          <w:rFonts w:hint="eastAsia" w:ascii="仿宋_GB2312" w:hAnsi="宋体" w:eastAsia="仿宋_GB2312"/>
          <w:b w:val="0"/>
          <w:bCs/>
          <w:sz w:val="32"/>
          <w:szCs w:val="32"/>
        </w:rPr>
        <w:t>精神、第三次中央新疆工作座谈会精神、2021年全国两会精神、自治区2021年商务和贸促工作会议精神，适时通报财务收支情况，主动接受理事会（监事会）监督。四是组织4名干部参加2021年全国贸促系统商事认证资格培训，并全部通过考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新疆克州贸促会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（2）收支管理：领导层是本单位收支业务管理的决策部门，负责审批单位收支业务等事项。涉及“三重一大”事项，根据《新疆克州贸促会集体决策制度》和《新疆克州贸促会项目管理办法》办理。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新疆克州贸促会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新疆克州贸促会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114.73万元，项目支出安排资金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本单位2021年度项目支出0万元，涉及项目数量0个，其中：重点项目支出0万元，涉及重点项目数量0个，重点项目支出与部门项目总支出的比率为0%。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2021年度本单位年初批复部门预算资金总额为103.15万元，年中调增预算总额为11.58万元，调整后全年预算资金总额为114.73万元。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2021年度本单位部门整体支出资金总额为114.73万元，预算执行率为100%，预算调整率为11.23%。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年初政府采购预算数为1.4万元，实际政府采购数为1.4万元，政府采购执行率为100%。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的管理及使用情况；二是部门单位整体支出绩效情况，具体涉及部门单位整体支出绩效目标的实现程度，包括是否达到预定产出、效果和效益效率等；三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二是资产管理情况具体涉及资产管理规范性和固定资产利用率；三是部门（单位）整体支出绩效情况具体涉及部门（单位）整体支出绩效目标的实现程度，包括是否达到预定产出、效果和效益效率等方面进行评价。</w:t>
      </w:r>
      <w:bookmarkStart w:id="0" w:name="_Hlk43849111"/>
      <w:bookmarkEnd w:id="0"/>
    </w:p>
    <w:p w14:paraId="25AB1AE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1A53851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会计凭证核查显示，我单位2021年资金使用符合国家财经法规和财务管理制度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2021年度我单位基本支出预算总额为114.73万元，其中人员经费106.83万元，公用经费7.90万元。实际执行总额为114.73万元，预算执行率100%。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0.06万元，比上年减少0.44万元，减少733.33%，主要原因是：按照厉行节约的要求，缩减公务用车运行维护费。其中，因公出国（境）费支出0万元；公务用车购置及运行维护费支出0万元；公务接待费支出0.06万元；</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与年初预算数相比情况：一般公共预算“三公”经费支出年初预算数1.2万元，预算执行数为0.06万元，执行率为5%，主要原因是：按照厉行节约的要求，缩减公务用车运行维护费，因此支出随之减少。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综上我单位2021年度三公经费控制较好，与上年相存在降低与年初预算相比，未超出年初预算。</w:t>
      </w:r>
    </w:p>
    <w:p w14:paraId="1289F78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61F118B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14:paraId="4528FFF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0CE70DB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本单位2021年初资产合计数为28.36万元，年末资产合计数为4.57万元。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截止本年度固定资产账面净值3.84万元，年末实际在用固定资产3.84万元，固定资产利用率为100%。</w:t>
      </w:r>
    </w:p>
    <w:p w14:paraId="6CC3283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74CCD67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部门单位整体支出共设置一级指标3个，二级指标7个，三级指标15个，其中已完成三级指标15个，指标完成率为100%。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“保障人员人数”指标：预期指标值为等于9人，实际完成指标值为9人，指标完成率为100%。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“采购办公用品”指标：预期指标值为等于8批，实际完成指标值为8批，指标完成率为100%。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组织外贸企业参加境外展会”指标：预期指标值为等于1次，实际完成指标值为0次，指标完成率为0%。偏差原因：受疫情影响，暂停举办境外展会。改进措施：一旦可以组织企业参加境外展会，我们将完成此项指标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参加境外展会企业数量”指标：预期指标值为大于等于8家，实际完成指标值为0家，指标完成率为0%。偏差原因：受疫情影响，暂停举办境外展会。改进措施：一旦可以组织企业参加境外展会，我们将完成此项指标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“发展会员企业”指标：预期指标值为等于20家，实际完成指标值为20家，指标完成率为100%。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“举办涉外商事法律培训班”指标：预期指标值为等于1次，实际完成指标值为1次，指标完成率为100%。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数量指标共计6个，完成4个，达到预期目标，数量指标未全部完成。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“绩效考核合格率”指标：预期指标值为等于100%，实际完成指标值为100%，指标完成率为100%。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“资金使用合规率”指标：预期指标值为等于100%，实际完成指标值为100%，指标完成率为100%。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“参加展会完成率”指标：预期指标值为等于100%，实际完成指标值为0%，指标完成率为0%。偏差原因：受疫情影响，暂停举办境外展会。改进措施：一旦可以组织企业参加境外展会，我们将完成此项指标任务。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“举办涉外商事法律培训班完成率”指标：预期指标值为等于100%，实际完成指标值为100%，指标完成率为100%。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质量指标共计4个，完成3个，达到质量提升及标准。质量指标未全部完成。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“资金拨付及时率”指标：预期指标值为等于100%，实际完成指标值为100%，指标完成率为100%。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时效指标共计1个，完成1个，达到预期目标，数量指标完成。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“人员经费”指标：预期指标值为等于95.43万元，实际完成指标值为95.43万元，指标完成率为100%。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“公用经费”指标：预期指标值为等于7.72万元，实际完成指标值为7.72万元，指标完成率为100%。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“组织企业参加境外展会签订合作金额”指标：预期指标值为大于等于300万美元，实际完成指标值为0万美元，指标完成率为0%。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偏差原因：受疫情影响，暂停举办境外展会。改进措施：一旦可以组织企业参加境外展会，我们将完成此项指标任务。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“保障工作情况需要”指标：预期指标值为有效保障，实际完成指标值为有效保障，指标完成率为100%。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无该项指标。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“搭建资源共享平台，促进克州经济发展”指标：预期指标值为有效促进，实际完成指标值为有效促进，指标完成率为100%。实现部门绩效长效机制建设，提高工作效率目标。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可持续影响指标共计1个，完成1个，达到预期目标，可持续影响指标完成。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“受益企业满意度”指标：预期指标值为大于等于95%，实际完成值是95%，指标完成率是100%，达到部门（单位）服务对象对部门履职效果的满意度。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满意度指标共计1个，完成1个，达到部门（单位）服务对象对部门履职效果的满意度，服务对象满意度指标完成。</w:t>
      </w:r>
    </w:p>
    <w:p w14:paraId="77EFA4F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302DA7C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0AE60A3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47E2D14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6ED2745"/>
    <w:rsid w:val="190276E8"/>
    <w:rsid w:val="200F4073"/>
    <w:rsid w:val="24B86128"/>
    <w:rsid w:val="38C03D19"/>
    <w:rsid w:val="46BC03CB"/>
    <w:rsid w:val="51C70EA9"/>
    <w:rsid w:val="54F842B6"/>
    <w:rsid w:val="656071F2"/>
    <w:rsid w:val="6BF1756B"/>
    <w:rsid w:val="6F5E1AA3"/>
    <w:rsid w:val="7CCE2CAB"/>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9203</Words>
  <Characters>9538</Characters>
  <Lines>2</Lines>
  <Paragraphs>1</Paragraphs>
  <TotalTime>30</TotalTime>
  <ScaleCrop>false</ScaleCrop>
  <LinksUpToDate>false</LinksUpToDate>
  <CharactersWithSpaces>9770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2025-08-21T04:03:53Z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